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A494" w14:textId="3137AE3C" w:rsidR="00D87A01" w:rsidRPr="00C21690" w:rsidRDefault="00D87A01" w:rsidP="00C21690">
      <w:pPr>
        <w:pStyle w:val="Default"/>
        <w:jc w:val="center"/>
        <w:rPr>
          <w:b/>
          <w:bCs/>
          <w:sz w:val="28"/>
          <w:szCs w:val="28"/>
        </w:rPr>
      </w:pPr>
      <w:r w:rsidRPr="00C21690">
        <w:rPr>
          <w:b/>
          <w:bCs/>
          <w:sz w:val="28"/>
          <w:szCs w:val="28"/>
        </w:rPr>
        <w:t>“</w:t>
      </w:r>
      <w:r w:rsidR="00C21690" w:rsidRPr="00C21690">
        <w:rPr>
          <w:b/>
          <w:bCs/>
          <w:sz w:val="28"/>
          <w:szCs w:val="28"/>
        </w:rPr>
        <w:t>ТК-ХОЛД</w:t>
      </w:r>
      <w:r w:rsidRPr="00C21690">
        <w:rPr>
          <w:b/>
          <w:bCs/>
          <w:sz w:val="28"/>
          <w:szCs w:val="28"/>
        </w:rPr>
        <w:t>” АД</w:t>
      </w:r>
    </w:p>
    <w:p w14:paraId="0A0046FD" w14:textId="77777777" w:rsidR="00C21690" w:rsidRDefault="00C21690" w:rsidP="00C21690">
      <w:pPr>
        <w:pStyle w:val="Default"/>
        <w:jc w:val="center"/>
        <w:rPr>
          <w:sz w:val="23"/>
          <w:szCs w:val="23"/>
        </w:rPr>
      </w:pPr>
    </w:p>
    <w:p w14:paraId="3D3FEED2" w14:textId="77777777" w:rsidR="00C21690" w:rsidRDefault="00D87A01" w:rsidP="00C216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ДОПЪЛНИТЕЛНА ИНФОРМАЦИЯ, ОТНОСНО ОБСТОЯТЕЛСТВА, НАСТЪПИЛИ ПРЕЗ ПЪРВОТО ШЕСТМЕСЕЧИЕ НА 2022 </w:t>
      </w:r>
      <w:r w:rsidR="00C21690">
        <w:rPr>
          <w:sz w:val="23"/>
          <w:szCs w:val="23"/>
        </w:rPr>
        <w:t>г</w:t>
      </w:r>
      <w:r>
        <w:rPr>
          <w:sz w:val="23"/>
          <w:szCs w:val="23"/>
        </w:rPr>
        <w:t>.</w:t>
      </w:r>
    </w:p>
    <w:p w14:paraId="58F4928A" w14:textId="33862B82" w:rsidR="00D87A01" w:rsidRDefault="00D87A01" w:rsidP="00D87A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5211BCE" w14:textId="7B1E7409" w:rsidR="00D87A01" w:rsidRDefault="002A3AB8" w:rsidP="00AD24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/и</w:t>
      </w:r>
      <w:r w:rsidR="00D87A01">
        <w:rPr>
          <w:sz w:val="22"/>
          <w:szCs w:val="22"/>
        </w:rPr>
        <w:t>нформация съгласно изискванията на чл. 12, ал. 1 от Наредба №2 от 09.11.2021 год. за проспектите при публично предлагане на ценни книжа и за разкриване на вътрешна информация от публичните дружества и другите емитенти на ценни книжа</w:t>
      </w:r>
      <w:r>
        <w:rPr>
          <w:sz w:val="22"/>
          <w:szCs w:val="22"/>
        </w:rPr>
        <w:t>/</w:t>
      </w:r>
    </w:p>
    <w:p w14:paraId="2D90E523" w14:textId="77777777" w:rsidR="00C21690" w:rsidRDefault="00C21690" w:rsidP="00D87A01">
      <w:pPr>
        <w:pStyle w:val="Default"/>
        <w:rPr>
          <w:color w:val="auto"/>
        </w:rPr>
      </w:pPr>
    </w:p>
    <w:p w14:paraId="401A37D2" w14:textId="1690015C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емитента; </w:t>
      </w:r>
    </w:p>
    <w:p w14:paraId="48DC57B1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481D0A6D" w14:textId="60413E4F" w:rsidR="00D87A01" w:rsidRDefault="00D87A01" w:rsidP="00D87A0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Няма промяна в счетоводната политика на </w:t>
      </w:r>
      <w:r w:rsidR="00C21690">
        <w:rPr>
          <w:color w:val="auto"/>
          <w:sz w:val="23"/>
          <w:szCs w:val="23"/>
        </w:rPr>
        <w:t>ТК-Холд</w:t>
      </w:r>
      <w:r>
        <w:rPr>
          <w:color w:val="auto"/>
          <w:sz w:val="23"/>
          <w:szCs w:val="23"/>
        </w:rPr>
        <w:t xml:space="preserve"> АД за отчетния период. </w:t>
      </w:r>
    </w:p>
    <w:p w14:paraId="420033EA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1D25CB5F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Информация за настъпили промени в икономическата група на емитента, ако участва в такава група; </w:t>
      </w:r>
    </w:p>
    <w:p w14:paraId="4DF7B1D6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326E2CAB" w14:textId="1CD48255" w:rsidR="00D87A01" w:rsidRDefault="00D87A01" w:rsidP="00D87A0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Няма промени. </w:t>
      </w:r>
    </w:p>
    <w:p w14:paraId="1F98C70E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47B4725D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Информация за резултатите от организационни промени в рамките на емитента, като преобразуване, продажба на дружества от икономическата група, апортни вноски от дружеството, даване под наем на имущество, дългосрочни инвестиции, преустановяване на дейност; </w:t>
      </w:r>
    </w:p>
    <w:p w14:paraId="7094363E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00F1EE46" w14:textId="43192533" w:rsidR="00D87A01" w:rsidRDefault="00D87A01" w:rsidP="00D87A0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Няма промени. </w:t>
      </w:r>
    </w:p>
    <w:p w14:paraId="36B4E973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5C4EAFBF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шестмесечие,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година; </w:t>
      </w:r>
    </w:p>
    <w:p w14:paraId="51B914B1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445BBB98" w14:textId="556CA509" w:rsidR="00D87A01" w:rsidRDefault="00D87A01" w:rsidP="00AD240E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Дружеството няма публикувани прогнозни резултати за текущата финансова година,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 </w:t>
      </w:r>
    </w:p>
    <w:p w14:paraId="44043651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0E388246" w14:textId="77777777" w:rsidR="00D87A01" w:rsidRDefault="00D87A01" w:rsidP="0089649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За публичните дружества - данни за лицата, притежаващи пряко и непряко най-малко 5 на сто от гласовете в общото събрание към края на шестмесечието, и промените в притежаваните от лицата гласове за периода от началото на текущата финансова година до края на отчетния период; </w:t>
      </w:r>
    </w:p>
    <w:p w14:paraId="28EA78EB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462D9FC5" w14:textId="354ED65C" w:rsidR="00D87A01" w:rsidRDefault="00D87A01" w:rsidP="00AD240E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Лицата притежаващи пряко и непряко най-малко 5 на сто от гласовете в общото събрание в края на текущото шестмесечие са следните: </w:t>
      </w:r>
    </w:p>
    <w:p w14:paraId="0ACEA9E9" w14:textId="18827FDA" w:rsidR="00D87A01" w:rsidRDefault="00D87A01" w:rsidP="00D87A01">
      <w:pPr>
        <w:pStyle w:val="Default"/>
        <w:rPr>
          <w:color w:val="auto"/>
          <w:sz w:val="23"/>
          <w:szCs w:val="23"/>
        </w:rPr>
      </w:pPr>
    </w:p>
    <w:tbl>
      <w:tblPr>
        <w:tblW w:w="962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3278"/>
        <w:gridCol w:w="1378"/>
        <w:gridCol w:w="755"/>
        <w:gridCol w:w="3863"/>
        <w:gridCol w:w="104"/>
        <w:gridCol w:w="222"/>
        <w:gridCol w:w="20"/>
      </w:tblGrid>
      <w:tr w:rsidR="00E15576" w:rsidRPr="00E15576" w14:paraId="02E2555C" w14:textId="77777777" w:rsidTr="00127820">
        <w:trPr>
          <w:gridAfter w:val="3"/>
          <w:wAfter w:w="346" w:type="dxa"/>
          <w:trHeight w:val="238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40ED75" w14:textId="77777777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Пряко участие</w:t>
            </w:r>
          </w:p>
        </w:tc>
      </w:tr>
      <w:tr w:rsidR="00E15576" w:rsidRPr="00E15576" w14:paraId="65574057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38"/>
        </w:trPr>
        <w:tc>
          <w:tcPr>
            <w:tcW w:w="3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5236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Име/Наименование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7EBA668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Брой акции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5BA486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 xml:space="preserve">%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359C2" w14:textId="77777777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Адрес</w:t>
            </w:r>
          </w:p>
        </w:tc>
      </w:tr>
      <w:tr w:rsidR="00E15576" w:rsidRPr="00127820" w14:paraId="0BF7835D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38"/>
        </w:trPr>
        <w:tc>
          <w:tcPr>
            <w:tcW w:w="3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C33C7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Булфинанс инвестмънт АД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96B41E6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769 919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CBB78B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9,02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D4909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бул. Тодор Александров №73</w:t>
            </w:r>
          </w:p>
        </w:tc>
      </w:tr>
      <w:tr w:rsidR="00E15576" w:rsidRPr="00127820" w14:paraId="02B5F8CC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115"/>
        </w:trPr>
        <w:tc>
          <w:tcPr>
            <w:tcW w:w="32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7736E4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Стикс 2000 ЕООД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58193D5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850 000</w:t>
            </w:r>
          </w:p>
        </w:tc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112567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9,95</w:t>
            </w:r>
          </w:p>
        </w:tc>
        <w:tc>
          <w:tcPr>
            <w:tcW w:w="3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49DCA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Варна, ул. Цимерман №57, ап. 2</w:t>
            </w:r>
          </w:p>
        </w:tc>
      </w:tr>
      <w:tr w:rsidR="00E15576" w:rsidRPr="00127820" w14:paraId="2EDC9A6F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161"/>
        </w:trPr>
        <w:tc>
          <w:tcPr>
            <w:tcW w:w="32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16563F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Финанс секюрити груп АД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5F761D7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1 970 000</w:t>
            </w:r>
          </w:p>
        </w:tc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71535D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23,07</w:t>
            </w:r>
          </w:p>
        </w:tc>
        <w:tc>
          <w:tcPr>
            <w:tcW w:w="3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803F5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ул. Врабча №8</w:t>
            </w:r>
          </w:p>
        </w:tc>
      </w:tr>
      <w:tr w:rsidR="00E15576" w:rsidRPr="00127820" w14:paraId="18352FB9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53"/>
        </w:trPr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01D524A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Гама финанс ЕООД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AC30A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850 000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C492E86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9,95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AA6FE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ул. Шумен №13, ет. 4, ап. 11</w:t>
            </w:r>
          </w:p>
        </w:tc>
      </w:tr>
      <w:tr w:rsidR="00E15576" w:rsidRPr="00E15576" w14:paraId="311C900C" w14:textId="77777777" w:rsidTr="00127820">
        <w:tblPrEx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9378" w:type="dxa"/>
            <w:gridSpan w:val="5"/>
            <w:shd w:val="clear" w:color="auto" w:fill="FFFFFF"/>
          </w:tcPr>
          <w:p w14:paraId="4B7490B1" w14:textId="77777777" w:rsidR="00E15576" w:rsidRPr="00E15576" w:rsidRDefault="00E15576" w:rsidP="002420EE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22" w:type="dxa"/>
            <w:shd w:val="clear" w:color="auto" w:fill="auto"/>
          </w:tcPr>
          <w:p w14:paraId="51DFB0E3" w14:textId="77777777" w:rsidR="00E15576" w:rsidRPr="00E15576" w:rsidRDefault="00E15576" w:rsidP="002420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D91E576" w14:textId="77777777" w:rsidR="00E15576" w:rsidRPr="00E15576" w:rsidRDefault="00E15576" w:rsidP="002420EE">
            <w:pPr>
              <w:snapToGrid w:val="0"/>
              <w:rPr>
                <w:sz w:val="22"/>
                <w:szCs w:val="22"/>
              </w:rPr>
            </w:pPr>
          </w:p>
        </w:tc>
      </w:tr>
      <w:tr w:rsidR="00E15576" w:rsidRPr="00E15576" w14:paraId="60A07EE1" w14:textId="77777777" w:rsidTr="00127820">
        <w:trPr>
          <w:gridAfter w:val="3"/>
          <w:wAfter w:w="346" w:type="dxa"/>
          <w:trHeight w:val="238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A32A73" w14:textId="0D9BE7E1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Неп</w:t>
            </w:r>
            <w:r w:rsidRPr="00E15576">
              <w:rPr>
                <w:b/>
                <w:sz w:val="22"/>
                <w:szCs w:val="22"/>
                <w:lang w:val="bg-BG"/>
              </w:rPr>
              <w:t>ряко участие</w:t>
            </w:r>
          </w:p>
        </w:tc>
      </w:tr>
      <w:tr w:rsidR="00E15576" w:rsidRPr="00E15576" w14:paraId="101472C1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23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31366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Име/Наименование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BFD4E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Брой акции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417D97" w14:textId="77777777" w:rsidR="00E15576" w:rsidRPr="00E15576" w:rsidRDefault="00E15576" w:rsidP="002420E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 xml:space="preserve">%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7BE532" w14:textId="77777777" w:rsidR="00E15576" w:rsidRPr="00E15576" w:rsidRDefault="00E15576" w:rsidP="002420EE">
            <w:pPr>
              <w:jc w:val="center"/>
              <w:rPr>
                <w:sz w:val="22"/>
                <w:szCs w:val="22"/>
              </w:rPr>
            </w:pPr>
            <w:r w:rsidRPr="00E15576">
              <w:rPr>
                <w:b/>
                <w:sz w:val="22"/>
                <w:szCs w:val="22"/>
                <w:lang w:val="bg-BG"/>
              </w:rPr>
              <w:t>Адрес</w:t>
            </w:r>
          </w:p>
        </w:tc>
      </w:tr>
      <w:tr w:rsidR="00E15576" w:rsidRPr="00127820" w14:paraId="61C10377" w14:textId="77777777" w:rsidTr="00127820">
        <w:tblPrEx>
          <w:tblCellMar>
            <w:left w:w="0" w:type="dxa"/>
            <w:right w:w="0" w:type="dxa"/>
          </w:tblCellMar>
        </w:tblPrEx>
        <w:trPr>
          <w:gridAfter w:val="3"/>
          <w:wAfter w:w="346" w:type="dxa"/>
          <w:trHeight w:val="174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30371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Булфинанс инвестмънт АД и Финанс секюрити груп АД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80221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</w:p>
          <w:p w14:paraId="55E6A466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2 739 919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3DB300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</w:p>
          <w:p w14:paraId="3608C797" w14:textId="77777777" w:rsidR="00E15576" w:rsidRPr="00127820" w:rsidRDefault="00E15576" w:rsidP="002420EE">
            <w:pPr>
              <w:jc w:val="center"/>
              <w:rPr>
                <w:lang w:val="bg-BG"/>
              </w:rPr>
            </w:pPr>
            <w:r w:rsidRPr="00127820">
              <w:rPr>
                <w:lang w:val="bg-BG"/>
              </w:rPr>
              <w:t>32,09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B55D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бул. Тодор Александров №73 и</w:t>
            </w:r>
          </w:p>
          <w:p w14:paraId="19836B88" w14:textId="77777777" w:rsidR="00E15576" w:rsidRPr="00127820" w:rsidRDefault="00E15576" w:rsidP="002420EE">
            <w:pPr>
              <w:rPr>
                <w:lang w:val="bg-BG"/>
              </w:rPr>
            </w:pPr>
            <w:r w:rsidRPr="00127820">
              <w:rPr>
                <w:lang w:val="bg-BG"/>
              </w:rPr>
              <w:t>гр. София, ул. Врабча №8</w:t>
            </w:r>
          </w:p>
        </w:tc>
      </w:tr>
    </w:tbl>
    <w:p w14:paraId="616F98AC" w14:textId="77777777" w:rsidR="00E15576" w:rsidRDefault="00E15576" w:rsidP="00D87A01">
      <w:pPr>
        <w:pStyle w:val="Default"/>
        <w:rPr>
          <w:color w:val="auto"/>
          <w:sz w:val="23"/>
          <w:szCs w:val="23"/>
        </w:rPr>
      </w:pPr>
    </w:p>
    <w:p w14:paraId="39E2BA17" w14:textId="68417335" w:rsidR="0089649C" w:rsidRDefault="0089649C" w:rsidP="00414EF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val="bg-BG" w:eastAsia="en-US"/>
        </w:rPr>
      </w:pPr>
      <w:r w:rsidRPr="0089649C">
        <w:rPr>
          <w:rFonts w:eastAsiaTheme="minorHAnsi"/>
          <w:b/>
          <w:bCs/>
          <w:color w:val="000000"/>
          <w:sz w:val="22"/>
          <w:szCs w:val="22"/>
          <w:lang w:val="bg-BG" w:eastAsia="en-US"/>
        </w:rPr>
        <w:t xml:space="preserve">6. Данни за акциите, притежавани от членовете на управителните и контролни органи на емитента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 </w:t>
      </w:r>
    </w:p>
    <w:p w14:paraId="31ED95B1" w14:textId="77777777" w:rsidR="0089649C" w:rsidRPr="0089649C" w:rsidRDefault="0089649C" w:rsidP="0089649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bg-BG" w:eastAsia="en-US"/>
        </w:rPr>
      </w:pPr>
    </w:p>
    <w:p w14:paraId="3EBE494A" w14:textId="7EE9BE96" w:rsidR="00D87A01" w:rsidRDefault="0089649C" w:rsidP="00AD240E">
      <w:pPr>
        <w:pStyle w:val="Default"/>
        <w:ind w:firstLine="708"/>
        <w:jc w:val="both"/>
        <w:rPr>
          <w:sz w:val="22"/>
          <w:szCs w:val="22"/>
        </w:rPr>
      </w:pPr>
      <w:r w:rsidRPr="0089649C">
        <w:rPr>
          <w:sz w:val="22"/>
          <w:szCs w:val="22"/>
        </w:rPr>
        <w:t xml:space="preserve">Членовете на Съвета на директорите на </w:t>
      </w:r>
      <w:r>
        <w:rPr>
          <w:sz w:val="22"/>
          <w:szCs w:val="22"/>
        </w:rPr>
        <w:t>ТК-Холд АД</w:t>
      </w:r>
      <w:r w:rsidRPr="0089649C">
        <w:rPr>
          <w:sz w:val="22"/>
          <w:szCs w:val="22"/>
        </w:rPr>
        <w:t xml:space="preserve"> не притежават акции от капитала на дружеството.</w:t>
      </w:r>
    </w:p>
    <w:p w14:paraId="64D6EC2A" w14:textId="77777777" w:rsidR="0089649C" w:rsidRDefault="0089649C" w:rsidP="0089649C">
      <w:pPr>
        <w:pStyle w:val="Default"/>
        <w:rPr>
          <w:color w:val="auto"/>
          <w:sz w:val="23"/>
          <w:szCs w:val="23"/>
        </w:rPr>
      </w:pPr>
    </w:p>
    <w:p w14:paraId="250E79FF" w14:textId="1353D479" w:rsidR="00D87A01" w:rsidRDefault="0089649C" w:rsidP="00414EF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</w:t>
      </w:r>
      <w:r w:rsidR="00D87A01">
        <w:rPr>
          <w:b/>
          <w:bCs/>
          <w:color w:val="auto"/>
          <w:sz w:val="23"/>
          <w:szCs w:val="23"/>
        </w:rPr>
        <w:t xml:space="preserve">.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емитента; ако общата стойност на задълженията или вземанията на емитента по всички образувани производства надхвърля 10 на сто от собствения му капитал, се представя информация за всяко производство поотделно; </w:t>
      </w:r>
    </w:p>
    <w:p w14:paraId="376AE482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1ACD23E6" w14:textId="50324C25" w:rsidR="00D87A01" w:rsidRDefault="00D87A01" w:rsidP="00414EFF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Няма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дружеството, както и ако се вземе в предвид общата стойност на задълженията или вземанията на дружеството по всички образувани производства надхвърлящи 10 на сто от собствения му капитал.</w:t>
      </w:r>
    </w:p>
    <w:p w14:paraId="1918A293" w14:textId="77777777" w:rsidR="00414EFF" w:rsidRDefault="00414EFF" w:rsidP="00414EFF">
      <w:pPr>
        <w:pStyle w:val="Default"/>
        <w:ind w:firstLine="708"/>
        <w:jc w:val="both"/>
        <w:rPr>
          <w:color w:val="auto"/>
          <w:sz w:val="23"/>
          <w:szCs w:val="23"/>
        </w:rPr>
      </w:pPr>
      <w:bookmarkStart w:id="0" w:name="_Hlk7009074"/>
      <w:bookmarkStart w:id="1" w:name="_Hlk49529641"/>
      <w:r w:rsidRPr="00414EFF">
        <w:rPr>
          <w:color w:val="auto"/>
          <w:sz w:val="23"/>
          <w:szCs w:val="23"/>
        </w:rPr>
        <w:t>ТК</w:t>
      </w:r>
      <w:r>
        <w:rPr>
          <w:color w:val="auto"/>
          <w:sz w:val="23"/>
          <w:szCs w:val="23"/>
        </w:rPr>
        <w:t>-</w:t>
      </w:r>
      <w:r w:rsidRPr="00414EFF">
        <w:rPr>
          <w:color w:val="auto"/>
          <w:sz w:val="23"/>
          <w:szCs w:val="23"/>
        </w:rPr>
        <w:t>Холд АД не е страна по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дружеството.</w:t>
      </w:r>
      <w:bookmarkStart w:id="2" w:name="_Hlk70069838"/>
      <w:r>
        <w:rPr>
          <w:color w:val="auto"/>
          <w:sz w:val="23"/>
          <w:szCs w:val="23"/>
        </w:rPr>
        <w:t xml:space="preserve"> </w:t>
      </w:r>
    </w:p>
    <w:p w14:paraId="04ECFDC1" w14:textId="03817957" w:rsidR="00414EFF" w:rsidRPr="00414EFF" w:rsidRDefault="00414EFF" w:rsidP="00414EFF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414EFF">
        <w:rPr>
          <w:color w:val="auto"/>
          <w:sz w:val="23"/>
          <w:szCs w:val="23"/>
        </w:rPr>
        <w:t>Дъщерното дружество Изгрев АД, гр. Оряхово предяви иск срещу Народно събрание и Агенция за приватизация и следприватизационен контрол за сумата 120 673,37 лв., представляваща имуществени вреди от продажба на недвижим имот на Изгрев АД за дълг на Изгрев-98 ООД на основание законна ипотека по §8 от ЗПСК. С решение от 29.01.2019 г. Софийски градски съд уважи иска на Изгрев АД. С решение от 22.07.2020 г. САС отмени решението на СГС и отхвърли иска на Изгрев АД. Решението на САС e обжалвано пред Върховния касационен съд с касационна жалба. Касационната жалба на Изгрев АД е допусната за разглеждане по същество. Делото е обявено за решаване.</w:t>
      </w:r>
    </w:p>
    <w:bookmarkEnd w:id="0"/>
    <w:bookmarkEnd w:id="1"/>
    <w:bookmarkEnd w:id="2"/>
    <w:p w14:paraId="2113B411" w14:textId="77777777" w:rsidR="00414EFF" w:rsidRDefault="00414EFF" w:rsidP="00414EFF">
      <w:pPr>
        <w:pStyle w:val="Default"/>
        <w:jc w:val="both"/>
        <w:rPr>
          <w:color w:val="auto"/>
          <w:sz w:val="23"/>
          <w:szCs w:val="23"/>
        </w:rPr>
      </w:pPr>
    </w:p>
    <w:p w14:paraId="65B5B2F0" w14:textId="4638B502" w:rsidR="00D87A01" w:rsidRDefault="0089649C" w:rsidP="00414EF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</w:t>
      </w:r>
      <w:r w:rsidR="00D87A01">
        <w:rPr>
          <w:b/>
          <w:bCs/>
          <w:color w:val="auto"/>
          <w:sz w:val="23"/>
          <w:szCs w:val="23"/>
        </w:rPr>
        <w:t xml:space="preserve">. 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 </w:t>
      </w:r>
    </w:p>
    <w:p w14:paraId="069EA01F" w14:textId="77777777" w:rsidR="00D87A01" w:rsidRDefault="00D87A01" w:rsidP="00D87A01">
      <w:pPr>
        <w:pStyle w:val="Default"/>
        <w:rPr>
          <w:color w:val="auto"/>
          <w:sz w:val="23"/>
          <w:szCs w:val="23"/>
        </w:rPr>
      </w:pPr>
    </w:p>
    <w:p w14:paraId="0675E12F" w14:textId="6A72D540" w:rsidR="00414EFF" w:rsidRPr="00414EFF" w:rsidRDefault="00414EFF" w:rsidP="00414EFF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 xml:space="preserve">Към </w:t>
      </w:r>
      <w:r w:rsidRPr="00414EFF">
        <w:rPr>
          <w:sz w:val="24"/>
          <w:szCs w:val="24"/>
          <w:lang w:val="bg-BG"/>
        </w:rPr>
        <w:t>30.06.2022</w:t>
      </w:r>
      <w:r w:rsidRPr="00414EFF">
        <w:rPr>
          <w:sz w:val="24"/>
          <w:szCs w:val="24"/>
          <w:lang w:val="ru-RU"/>
        </w:rPr>
        <w:t xml:space="preserve"> г. </w:t>
      </w:r>
      <w:r w:rsidR="009B2D12">
        <w:rPr>
          <w:sz w:val="24"/>
          <w:szCs w:val="24"/>
          <w:lang w:val="ru-RU"/>
        </w:rPr>
        <w:t>ТК-Холд</w:t>
      </w:r>
      <w:r w:rsidRPr="00414EFF">
        <w:rPr>
          <w:sz w:val="24"/>
          <w:szCs w:val="24"/>
          <w:lang w:val="ru-RU"/>
        </w:rPr>
        <w:t xml:space="preserve"> АД има вземания по отпуснати заеми на дъщерни и асоцииран</w:t>
      </w:r>
      <w:r w:rsidR="00881942">
        <w:rPr>
          <w:sz w:val="24"/>
          <w:szCs w:val="24"/>
          <w:lang w:val="ru-RU"/>
        </w:rPr>
        <w:t>и предприятия в размер на 21 125</w:t>
      </w:r>
      <w:r w:rsidRPr="00414EFF">
        <w:rPr>
          <w:sz w:val="24"/>
          <w:szCs w:val="24"/>
          <w:lang w:val="ru-RU"/>
        </w:rPr>
        <w:t xml:space="preserve"> хил.лв., в т.ч. 17 29</w:t>
      </w:r>
      <w:r w:rsidR="00881942">
        <w:rPr>
          <w:sz w:val="24"/>
          <w:szCs w:val="24"/>
          <w:lang w:val="ru-RU"/>
        </w:rPr>
        <w:t>4</w:t>
      </w:r>
      <w:bookmarkStart w:id="3" w:name="_GoBack"/>
      <w:bookmarkEnd w:id="3"/>
      <w:r w:rsidRPr="00414EFF">
        <w:rPr>
          <w:sz w:val="24"/>
          <w:szCs w:val="24"/>
          <w:lang w:val="ru-RU"/>
        </w:rPr>
        <w:t xml:space="preserve"> хил.лв. главница и 3 831 хил.лв. лихва. Заемите са отпуснати за финансово оздравяване, финансиране на дейността и проекти на дъщерни компании. </w:t>
      </w:r>
    </w:p>
    <w:p w14:paraId="734C739B" w14:textId="77777777" w:rsidR="00414EFF" w:rsidRPr="00414EFF" w:rsidRDefault="00414EFF" w:rsidP="00414EFF">
      <w:pPr>
        <w:pStyle w:val="NoSpacing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ab/>
        <w:t xml:space="preserve">Сроковете за погасяване на отпуснатите заеми са между 2022 и 2025 г. Лихвените проценти са определяни индивидуално в зависимост от целите на заемите и са между ОЛП + 3 % до </w:t>
      </w:r>
      <w:r w:rsidRPr="00414EFF">
        <w:rPr>
          <w:sz w:val="24"/>
          <w:szCs w:val="24"/>
          <w:lang w:val="bg-BG"/>
        </w:rPr>
        <w:t>ОЛП + 4 %</w:t>
      </w:r>
      <w:r w:rsidRPr="00414EFF">
        <w:rPr>
          <w:sz w:val="24"/>
          <w:szCs w:val="24"/>
          <w:lang w:val="ru-RU"/>
        </w:rPr>
        <w:t xml:space="preserve">. Всички заеми са обезпечени със запис на заповед </w:t>
      </w:r>
      <w:r w:rsidRPr="00414EFF">
        <w:rPr>
          <w:sz w:val="24"/>
          <w:szCs w:val="24"/>
          <w:lang w:val="bg-BG"/>
        </w:rPr>
        <w:t>и/</w:t>
      </w:r>
      <w:r w:rsidRPr="00414EFF">
        <w:rPr>
          <w:sz w:val="24"/>
          <w:szCs w:val="24"/>
          <w:lang w:val="ru-RU"/>
        </w:rPr>
        <w:t>или с ипотека върху недвижими имоти и залози по ЗОЗ.</w:t>
      </w:r>
    </w:p>
    <w:p w14:paraId="56FBEF9A" w14:textId="77777777" w:rsidR="00414EFF" w:rsidRPr="00414EFF" w:rsidRDefault="00414EFF" w:rsidP="009B2D12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 xml:space="preserve">Заемите са сключени за закупуване на техника, за ремонт на сгради, за рефинансиране на задължения или за оборотни средства. Има вземания и за направени </w:t>
      </w:r>
      <w:r w:rsidRPr="00414EFF">
        <w:rPr>
          <w:sz w:val="24"/>
          <w:szCs w:val="24"/>
          <w:lang w:val="ru-RU"/>
        </w:rPr>
        <w:lastRenderedPageBreak/>
        <w:t>допълнителни безлихвени парични вноски. Извън тези направления не са искани, не са обсъждани и съответно не са отпускани заеми.</w:t>
      </w:r>
    </w:p>
    <w:p w14:paraId="1A23CF2C" w14:textId="331513A8" w:rsidR="00414EFF" w:rsidRPr="00414EFF" w:rsidRDefault="00414EFF" w:rsidP="00414EFF">
      <w:pPr>
        <w:pStyle w:val="NoSpacing"/>
        <w:jc w:val="both"/>
        <w:rPr>
          <w:sz w:val="24"/>
          <w:szCs w:val="24"/>
          <w:lang w:val="ru-RU"/>
        </w:rPr>
      </w:pPr>
      <w:r w:rsidRPr="00414EFF">
        <w:rPr>
          <w:sz w:val="24"/>
          <w:szCs w:val="24"/>
          <w:lang w:val="ru-RU"/>
        </w:rPr>
        <w:tab/>
        <w:t xml:space="preserve">Отпуснатите заеми не застрашават дейността на Холдинга, а взетите имат своето вътрешно обезпечение, в случай на неточни разчети или необичайна промяна на условията. В тази част от дейността </w:t>
      </w:r>
      <w:r w:rsidR="009B2D12">
        <w:rPr>
          <w:sz w:val="24"/>
          <w:szCs w:val="24"/>
          <w:lang w:val="ru-RU"/>
        </w:rPr>
        <w:t>си</w:t>
      </w:r>
      <w:r w:rsidRPr="00414EFF">
        <w:rPr>
          <w:sz w:val="24"/>
          <w:szCs w:val="24"/>
          <w:lang w:val="ru-RU"/>
        </w:rPr>
        <w:t xml:space="preserve"> ръководството на Холдинга е свело рисковете до възможния минимум. Не съществуват каквито и да са преки заплахи от тази гледна точка.</w:t>
      </w:r>
    </w:p>
    <w:p w14:paraId="6ACF97DC" w14:textId="77777777" w:rsidR="00414EFF" w:rsidRPr="00414EFF" w:rsidRDefault="00414EFF" w:rsidP="009B2D12">
      <w:pPr>
        <w:pStyle w:val="NoSpacing"/>
        <w:ind w:firstLine="708"/>
        <w:jc w:val="both"/>
        <w:rPr>
          <w:sz w:val="24"/>
          <w:szCs w:val="24"/>
          <w:lang w:val="bg-BG"/>
        </w:rPr>
      </w:pPr>
      <w:r w:rsidRPr="00414EFF">
        <w:rPr>
          <w:sz w:val="24"/>
          <w:szCs w:val="24"/>
          <w:lang w:val="ru-RU"/>
        </w:rPr>
        <w:t xml:space="preserve">Част от дружествата на Холдинга през определени периоди са имали свободни парични средства, които по решение на своите ръководства са предоставяли като срочни депозити на Холдинга. Към </w:t>
      </w:r>
      <w:r w:rsidRPr="00414EFF">
        <w:rPr>
          <w:sz w:val="24"/>
          <w:szCs w:val="24"/>
          <w:lang w:val="bg-BG"/>
        </w:rPr>
        <w:t>30.06.2022</w:t>
      </w:r>
      <w:r w:rsidRPr="00414EFF">
        <w:rPr>
          <w:sz w:val="24"/>
          <w:szCs w:val="24"/>
        </w:rPr>
        <w:t xml:space="preserve"> </w:t>
      </w:r>
      <w:r w:rsidRPr="00414EFF">
        <w:rPr>
          <w:sz w:val="24"/>
          <w:szCs w:val="24"/>
          <w:lang w:val="ru-RU"/>
        </w:rPr>
        <w:t xml:space="preserve">г. общата сума на задълженията по привлечени депозити е 24 588 хил.лв. Средствата са предоставяни с договор и възмездно, като лихвените проценти, които са действащи през отчетния период са  0,5 на сто за всички депозити (с изкл. на един с лихвен процент от 0,3%). </w:t>
      </w:r>
    </w:p>
    <w:p w14:paraId="3901BAB3" w14:textId="7A6D179A" w:rsidR="00414EFF" w:rsidRPr="00414EFF" w:rsidRDefault="009B2D12" w:rsidP="00861829">
      <w:pPr>
        <w:pStyle w:val="NoSpacing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периода</w:t>
      </w:r>
      <w:r w:rsidR="00414EFF" w:rsidRPr="00414EFF">
        <w:rPr>
          <w:sz w:val="24"/>
          <w:szCs w:val="24"/>
          <w:lang w:val="ru-RU"/>
        </w:rPr>
        <w:t xml:space="preserve"> 01.01.2022 г. – 30.06.2022 г. са сключени сделки за заеми и депозити със свързани лица:</w:t>
      </w:r>
    </w:p>
    <w:p w14:paraId="12642E89" w14:textId="77777777" w:rsidR="00414EFF" w:rsidRDefault="00414EFF" w:rsidP="00414EFF">
      <w:pPr>
        <w:spacing w:line="360" w:lineRule="auto"/>
        <w:ind w:firstLine="851"/>
        <w:jc w:val="both"/>
        <w:rPr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842"/>
      </w:tblGrid>
      <w:tr w:rsidR="00414EFF" w14:paraId="6F3F8D7F" w14:textId="77777777" w:rsidTr="002420EE">
        <w:trPr>
          <w:trHeight w:val="5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F884" w14:textId="77777777" w:rsidR="00414EFF" w:rsidRPr="00D16540" w:rsidRDefault="00414EFF" w:rsidP="002420EE">
            <w:pPr>
              <w:ind w:left="57"/>
              <w:jc w:val="center"/>
              <w:rPr>
                <w:b/>
                <w:lang w:val="bg-BG" w:eastAsia="bg-BG"/>
              </w:rPr>
            </w:pPr>
            <w:proofErr w:type="spellStart"/>
            <w:r w:rsidRPr="00D16540">
              <w:rPr>
                <w:b/>
              </w:rPr>
              <w:t>Вид</w:t>
            </w:r>
            <w:proofErr w:type="spellEnd"/>
            <w:r w:rsidRPr="00D16540">
              <w:rPr>
                <w:b/>
              </w:rPr>
              <w:t xml:space="preserve"> </w:t>
            </w:r>
            <w:proofErr w:type="spellStart"/>
            <w:r w:rsidRPr="00D16540">
              <w:rPr>
                <w:b/>
              </w:rPr>
              <w:t>сделки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FA304" w14:textId="77777777" w:rsidR="00414EFF" w:rsidRPr="00D16540" w:rsidRDefault="00414EFF" w:rsidP="002420EE">
            <w:pPr>
              <w:jc w:val="center"/>
              <w:rPr>
                <w:b/>
                <w:lang w:val="bg-BG"/>
              </w:rPr>
            </w:pPr>
            <w:r w:rsidRPr="00D16540">
              <w:rPr>
                <w:b/>
              </w:rPr>
              <w:t>30.06.2022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99BB" w14:textId="77777777" w:rsidR="00414EFF" w:rsidRPr="00D16540" w:rsidRDefault="00414EFF" w:rsidP="002420EE">
            <w:pPr>
              <w:jc w:val="center"/>
              <w:rPr>
                <w:b/>
                <w:lang w:val="bg-BG"/>
              </w:rPr>
            </w:pPr>
            <w:r w:rsidRPr="00D16540">
              <w:rPr>
                <w:b/>
              </w:rPr>
              <w:t>30.06.2021 г.</w:t>
            </w:r>
          </w:p>
        </w:tc>
      </w:tr>
      <w:tr w:rsidR="00414EFF" w14:paraId="03C98815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36FF" w14:textId="77777777" w:rsidR="00414EFF" w:rsidRPr="00D16540" w:rsidRDefault="00414EFF" w:rsidP="002420EE">
            <w:pPr>
              <w:ind w:left="57"/>
              <w:jc w:val="both"/>
              <w:rPr>
                <w:b/>
                <w:lang w:val="bg-BG"/>
              </w:rPr>
            </w:pPr>
            <w:proofErr w:type="spellStart"/>
            <w:r w:rsidRPr="00D16540">
              <w:t>Предоставени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заеми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от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ТК-Холд</w:t>
            </w:r>
            <w:proofErr w:type="spellEnd"/>
            <w:r w:rsidRPr="00D16540">
              <w:t xml:space="preserve"> АД </w:t>
            </w:r>
            <w:proofErr w:type="spellStart"/>
            <w:r w:rsidRPr="00D16540">
              <w:t>на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дъщерните</w:t>
            </w:r>
            <w:proofErr w:type="spellEnd"/>
            <w:r w:rsidRPr="00D16540">
              <w:t xml:space="preserve"> и </w:t>
            </w:r>
            <w:proofErr w:type="spellStart"/>
            <w:r w:rsidRPr="00D16540">
              <w:t>асоциирани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предприятия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A33" w14:textId="77777777" w:rsidR="00414EFF" w:rsidRPr="00D16540" w:rsidRDefault="00414EFF" w:rsidP="002420EE">
            <w:pPr>
              <w:jc w:val="right"/>
            </w:pPr>
            <w:r w:rsidRPr="00D16540">
              <w:t>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E037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(117)</w:t>
            </w:r>
          </w:p>
        </w:tc>
      </w:tr>
      <w:tr w:rsidR="00414EFF" w14:paraId="789B2E36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48E5" w14:textId="77777777" w:rsidR="00414EFF" w:rsidRPr="00D16540" w:rsidRDefault="00414EFF" w:rsidP="002420EE">
            <w:pPr>
              <w:ind w:left="57"/>
              <w:jc w:val="both"/>
              <w:rPr>
                <w:lang w:val="bg-BG"/>
              </w:rPr>
            </w:pPr>
            <w:proofErr w:type="spellStart"/>
            <w:r w:rsidRPr="00D16540">
              <w:t>Приходи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от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лихви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по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предоставени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заеми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6D09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9EB4" w14:textId="77777777" w:rsidR="00414EFF" w:rsidRPr="00D16540" w:rsidRDefault="00414EFF" w:rsidP="002420EE">
            <w:pPr>
              <w:jc w:val="right"/>
            </w:pPr>
            <w:r w:rsidRPr="00D16540">
              <w:t>214</w:t>
            </w:r>
          </w:p>
        </w:tc>
      </w:tr>
      <w:tr w:rsidR="00414EFF" w14:paraId="77E26362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11D" w14:textId="77777777" w:rsidR="00414EFF" w:rsidRPr="00D16540" w:rsidRDefault="00414EFF" w:rsidP="002420EE">
            <w:pPr>
              <w:ind w:left="57"/>
              <w:jc w:val="both"/>
              <w:rPr>
                <w:b/>
                <w:lang w:val="bg-BG"/>
              </w:rPr>
            </w:pPr>
            <w:proofErr w:type="spellStart"/>
            <w:r w:rsidRPr="00D16540">
              <w:t>Получени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депозити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от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дъщерни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предприятия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на</w:t>
            </w:r>
            <w:proofErr w:type="spellEnd"/>
            <w:r w:rsidRPr="00D16540">
              <w:t xml:space="preserve"> “ТК - ХОЛД” 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D59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4 000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43E5" w14:textId="77777777" w:rsidR="00414EFF" w:rsidRPr="00D16540" w:rsidRDefault="00414EFF" w:rsidP="002420EE">
            <w:pPr>
              <w:jc w:val="right"/>
              <w:rPr>
                <w:lang w:val="bg-BG"/>
              </w:rPr>
            </w:pPr>
            <w:r w:rsidRPr="00D16540">
              <w:t>921</w:t>
            </w:r>
          </w:p>
        </w:tc>
      </w:tr>
      <w:tr w:rsidR="00414EFF" w14:paraId="553BB65D" w14:textId="77777777" w:rsidTr="002420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9379" w14:textId="77777777" w:rsidR="00414EFF" w:rsidRPr="00D16540" w:rsidRDefault="00414EFF" w:rsidP="002420EE">
            <w:pPr>
              <w:ind w:left="57"/>
              <w:jc w:val="both"/>
              <w:rPr>
                <w:lang w:val="bg-BG"/>
              </w:rPr>
            </w:pPr>
            <w:r w:rsidRPr="00D16540">
              <w:t xml:space="preserve"> </w:t>
            </w:r>
            <w:proofErr w:type="spellStart"/>
            <w:r w:rsidRPr="00D16540">
              <w:t>Разходи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за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лихви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по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получени</w:t>
            </w:r>
            <w:proofErr w:type="spellEnd"/>
            <w:r w:rsidRPr="00D16540">
              <w:t xml:space="preserve"> </w:t>
            </w:r>
            <w:proofErr w:type="spellStart"/>
            <w:r w:rsidRPr="00D16540">
              <w:t>депозити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B7D" w14:textId="77777777" w:rsidR="00414EFF" w:rsidRPr="00D16540" w:rsidRDefault="00414EFF" w:rsidP="002420EE">
            <w:pPr>
              <w:jc w:val="right"/>
            </w:pPr>
            <w:r w:rsidRPr="00D16540">
              <w:t>(56)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6EC7" w14:textId="77777777" w:rsidR="00414EFF" w:rsidRPr="00D16540" w:rsidRDefault="00414EFF" w:rsidP="002420EE">
            <w:pPr>
              <w:jc w:val="right"/>
            </w:pPr>
            <w:r w:rsidRPr="00D16540">
              <w:t>(50)</w:t>
            </w:r>
          </w:p>
        </w:tc>
      </w:tr>
    </w:tbl>
    <w:p w14:paraId="43EF490C" w14:textId="2B1E6E23" w:rsidR="00692A80" w:rsidRDefault="00692A80"/>
    <w:p w14:paraId="49740051" w14:textId="77777777" w:rsidR="001A5113" w:rsidRDefault="001A5113"/>
    <w:p w14:paraId="3F505FAD" w14:textId="72B03C57" w:rsidR="00C21690" w:rsidRPr="00D9290D" w:rsidRDefault="00861829" w:rsidP="00D9290D">
      <w:pPr>
        <w:pStyle w:val="NoSpacing"/>
        <w:jc w:val="both"/>
        <w:rPr>
          <w:sz w:val="24"/>
          <w:szCs w:val="24"/>
          <w:lang w:val="ru-RU"/>
        </w:rPr>
      </w:pPr>
      <w:r w:rsidRPr="00D9290D">
        <w:rPr>
          <w:sz w:val="24"/>
          <w:szCs w:val="24"/>
          <w:lang w:val="ru-RU"/>
        </w:rPr>
        <w:t>2</w:t>
      </w:r>
      <w:r w:rsidR="006C1BC5">
        <w:rPr>
          <w:sz w:val="24"/>
          <w:szCs w:val="24"/>
          <w:lang w:val="ru-RU"/>
        </w:rPr>
        <w:t>5</w:t>
      </w:r>
      <w:r w:rsidRPr="00D9290D">
        <w:rPr>
          <w:sz w:val="24"/>
          <w:szCs w:val="24"/>
          <w:lang w:val="ru-RU"/>
        </w:rPr>
        <w:t>.0</w:t>
      </w:r>
      <w:r w:rsidR="006C1BC5">
        <w:rPr>
          <w:sz w:val="24"/>
          <w:szCs w:val="24"/>
          <w:lang w:val="ru-RU"/>
        </w:rPr>
        <w:t>8</w:t>
      </w:r>
      <w:r w:rsidRPr="00D9290D">
        <w:rPr>
          <w:sz w:val="24"/>
          <w:szCs w:val="24"/>
          <w:lang w:val="ru-RU"/>
        </w:rPr>
        <w:t>.2022 г.</w:t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b/>
          <w:bCs/>
          <w:sz w:val="24"/>
          <w:szCs w:val="24"/>
          <w:lang w:val="ru-RU"/>
        </w:rPr>
        <w:t>ПРОКУРИСТ</w:t>
      </w:r>
      <w:r w:rsidRPr="00D9290D">
        <w:rPr>
          <w:sz w:val="24"/>
          <w:szCs w:val="24"/>
          <w:lang w:val="ru-RU"/>
        </w:rPr>
        <w:t>:</w:t>
      </w:r>
      <w:r w:rsidR="00D9290D" w:rsidRPr="00D9290D">
        <w:rPr>
          <w:rFonts w:ascii="Arial Narrow" w:hAnsi="Arial Narrow"/>
        </w:rPr>
        <w:t xml:space="preserve"> </w:t>
      </w:r>
      <w:r w:rsidR="00D9290D">
        <w:rPr>
          <w:rFonts w:ascii="Arial Narrow" w:hAnsi="Arial Narrow"/>
          <w:noProof/>
          <w:lang w:val="bg-BG" w:eastAsia="bg-BG"/>
        </w:rPr>
        <w:drawing>
          <wp:inline distT="0" distB="0" distL="0" distR="0" wp14:anchorId="7099296A" wp14:editId="5D95901B">
            <wp:extent cx="83185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23193" w14:textId="1957F1B4" w:rsidR="00861829" w:rsidRPr="00D9290D" w:rsidRDefault="00861829" w:rsidP="00D9290D">
      <w:pPr>
        <w:pStyle w:val="NoSpacing"/>
        <w:jc w:val="both"/>
        <w:rPr>
          <w:sz w:val="24"/>
          <w:szCs w:val="24"/>
          <w:lang w:val="ru-RU"/>
        </w:rPr>
      </w:pPr>
      <w:r w:rsidRPr="00D9290D">
        <w:rPr>
          <w:sz w:val="24"/>
          <w:szCs w:val="24"/>
          <w:lang w:val="ru-RU"/>
        </w:rPr>
        <w:t>София</w:t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</w:r>
      <w:r w:rsidRPr="00D9290D">
        <w:rPr>
          <w:sz w:val="24"/>
          <w:szCs w:val="24"/>
          <w:lang w:val="ru-RU"/>
        </w:rPr>
        <w:tab/>
        <w:t>Сергей Ревалски</w:t>
      </w:r>
    </w:p>
    <w:sectPr w:rsidR="00861829" w:rsidRPr="00D9290D" w:rsidSect="001A5113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C868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BF98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3902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66F7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03AE32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15D2DF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54F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C0F9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8E9A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6CDEF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01"/>
    <w:rsid w:val="00127820"/>
    <w:rsid w:val="001A5113"/>
    <w:rsid w:val="002A3AB8"/>
    <w:rsid w:val="00414EFF"/>
    <w:rsid w:val="005B1DAB"/>
    <w:rsid w:val="00692A80"/>
    <w:rsid w:val="006C1BC5"/>
    <w:rsid w:val="00861829"/>
    <w:rsid w:val="00881942"/>
    <w:rsid w:val="0089649C"/>
    <w:rsid w:val="009B2D12"/>
    <w:rsid w:val="00AD240E"/>
    <w:rsid w:val="00C21690"/>
    <w:rsid w:val="00D87A01"/>
    <w:rsid w:val="00D9290D"/>
    <w:rsid w:val="00E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C722"/>
  <w15:chartTrackingRefBased/>
  <w15:docId w15:val="{6D9675C1-85CE-4658-A6E3-5FA6F78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14E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Bahnev</dc:creator>
  <cp:keywords/>
  <dc:description/>
  <cp:lastModifiedBy>george</cp:lastModifiedBy>
  <cp:revision>10</cp:revision>
  <dcterms:created xsi:type="dcterms:W3CDTF">2022-07-26T15:40:00Z</dcterms:created>
  <dcterms:modified xsi:type="dcterms:W3CDTF">2022-08-26T09:11:00Z</dcterms:modified>
</cp:coreProperties>
</file>